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鹏鼎控股（深圳）股份有限公司招聘简章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69A8FB3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鹏鼎控股系由富葵精密组件(深圳)有限公司整体变更设立。公司成立于1999年4月29日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，并于2018年9月18日在深圳证券交易所上市，股票简称“鹏鼎控股”,股票代码002938。</w:t>
      </w:r>
    </w:p>
    <w:p w14:paraId="605BD7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公司为全球范围内少数同时具备各类PCB产品研发、设计、制造、销售与服务的专业大型厂商，拥有优质多样的PCB产品线，主要产品范围涵盖FPC、SMA、SLP、HDI、 RPCB、Rigid Flex等多类产品，并广泛应用于通讯电子产品、消费电子及计算机类产品以及汽车和AI服务器、光模块、高速计算机等产品，具备为不同客户提供全方位PCB电子互联产品及服务的强大实力，打造了全方位的PCB产品一站式服务平台。公司高度重视研究开发工作，在深圳市设有研发中心，不断加强产学研合作，与包含清华大学、香港城市大学、东南大学、深圳大学、燕山大学、河北工业大学及广东工业大学等大陆院校，以及台湾大学、新竹清华大学、成功大学、中央大学、台湾科技大学、中原大学、元智大学、龙华科技大学等台湾研究机构及院校建立了长期的合作关系。截止2025年12月31日，公司累计申请专利2801件，累计获得国内外授权专利数1647件。</w:t>
      </w:r>
    </w:p>
    <w:p w14:paraId="6D38057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根据Prismark2018至2026年以营收计算的全球PCB企业排名，公司2017年-2025年连续九年位列全球最大PCB生产企业。</w:t>
      </w:r>
    </w:p>
    <w:p w14:paraId="752FDE53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招聘岗位</w:t>
      </w:r>
    </w:p>
    <w:tbl>
      <w:tblPr>
        <w:tblStyle w:val="8"/>
        <w:tblpPr w:leftFromText="180" w:rightFromText="180" w:vertAnchor="text" w:horzAnchor="page" w:tblpX="1008" w:tblpY="283"/>
        <w:tblOverlap w:val="never"/>
        <w:tblW w:w="10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8"/>
        <w:gridCol w:w="2066"/>
        <w:gridCol w:w="5471"/>
        <w:gridCol w:w="777"/>
        <w:gridCol w:w="628"/>
      </w:tblGrid>
      <w:tr w14:paraId="60818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43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29F22F9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专业类别</w:t>
            </w:r>
          </w:p>
        </w:tc>
        <w:tc>
          <w:tcPr>
            <w:tcW w:w="206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3D671B7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岗位名称</w:t>
            </w:r>
          </w:p>
        </w:tc>
        <w:tc>
          <w:tcPr>
            <w:tcW w:w="5471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76A5DEA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需求专业</w:t>
            </w:r>
          </w:p>
        </w:tc>
        <w:tc>
          <w:tcPr>
            <w:tcW w:w="140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49E69AD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需求人数</w:t>
            </w:r>
          </w:p>
        </w:tc>
      </w:tr>
      <w:tr w14:paraId="4CA7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" w:hRule="atLeast"/>
        </w:trPr>
        <w:tc>
          <w:tcPr>
            <w:tcW w:w="143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2C702B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</w:rPr>
            </w:pPr>
          </w:p>
        </w:tc>
        <w:tc>
          <w:tcPr>
            <w:tcW w:w="206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66A308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</w:rPr>
            </w:pPr>
          </w:p>
        </w:tc>
        <w:tc>
          <w:tcPr>
            <w:tcW w:w="547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035BE0F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2D2386E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硕士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2A79C0"/>
            <w:tcMar>
              <w:left w:w="30" w:type="dxa"/>
              <w:right w:w="30" w:type="dxa"/>
            </w:tcMar>
            <w:vAlign w:val="center"/>
          </w:tcPr>
          <w:p w14:paraId="0605474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本科</w:t>
            </w:r>
          </w:p>
        </w:tc>
      </w:tr>
      <w:tr w14:paraId="53473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4220C7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机械类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2D90BAE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研发工程师、机械工程师、</w:t>
            </w:r>
          </w:p>
          <w:p w14:paraId="0CA9D6F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设备工程师、现场管理师等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5C9C6B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机械设计制造及其自动化、机械电子工程、机械工程、</w:t>
            </w:r>
          </w:p>
          <w:p w14:paraId="4737E9A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材料成型及控制工程、过程装备与控制工程等专业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95C5C0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74B078B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10</w:t>
            </w:r>
          </w:p>
        </w:tc>
      </w:tr>
      <w:tr w14:paraId="2AD2A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278B765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电子类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3FD9AEB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研发工程师、制造工程师、</w:t>
            </w:r>
          </w:p>
          <w:p w14:paraId="63096B3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现场管理师等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76BCC69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电子信息科学与技术、微电子学、光电子科学技术、</w:t>
            </w:r>
          </w:p>
          <w:p w14:paraId="32AB0DA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测控技术与仪器、电子信息工程、通信工程、</w:t>
            </w:r>
          </w:p>
          <w:p w14:paraId="0232CBA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电子科学与技术等专业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EED583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6C5B103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10</w:t>
            </w:r>
          </w:p>
        </w:tc>
      </w:tr>
      <w:tr w14:paraId="10E0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90C333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材料与化学类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355A88A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研发工程师、专利工程师、</w:t>
            </w:r>
          </w:p>
          <w:p w14:paraId="57E3D80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制造工程师、现场管理师等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51A843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高分子材料与工程、材料科学与工程、材料化学、</w:t>
            </w:r>
          </w:p>
          <w:p w14:paraId="3B041D6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无机非金属材料工程、材料物理、化学、应用化学、</w:t>
            </w:r>
          </w:p>
          <w:p w14:paraId="7FDEA16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化学工程与工艺等专业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3E5335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84A930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10</w:t>
            </w:r>
          </w:p>
        </w:tc>
      </w:tr>
      <w:tr w14:paraId="7B13D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EC0DAE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计算机类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44D42E6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网络维护工程师、软件工程师、测试工程师、信息安全工程师、大数据工程师等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C1C218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计算机科学与技术、软件工程、网络工程、</w:t>
            </w:r>
          </w:p>
          <w:p w14:paraId="7F85CAC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信息管理与信息系统、信息安全、计算机软件等专业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C66826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6524C28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5</w:t>
            </w:r>
          </w:p>
        </w:tc>
      </w:tr>
      <w:tr w14:paraId="588F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2185971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自动化类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5577447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自动化工程师、机械工程师、</w:t>
            </w:r>
          </w:p>
          <w:p w14:paraId="247C75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电控工程师等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8CA223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电气工程及其自动化、自动化等专业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2612372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511FB2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10</w:t>
            </w:r>
          </w:p>
        </w:tc>
      </w:tr>
      <w:tr w14:paraId="202CE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2978908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其他类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top"/>
          </w:tcPr>
          <w:p w14:paraId="646A345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安全管理师、环保工程师、</w:t>
            </w:r>
          </w:p>
          <w:p w14:paraId="66B5F0A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IE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工程师、外贸管理师等</w:t>
            </w:r>
          </w:p>
        </w:tc>
        <w:tc>
          <w:tcPr>
            <w:tcW w:w="54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69C00AF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安全工程、环境工程、工业工程、商务英语、小语种类等专业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4C2B8EE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F4EB70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5</w:t>
            </w:r>
          </w:p>
        </w:tc>
      </w:tr>
    </w:tbl>
    <w:p w14:paraId="33A15C12">
      <w:pPr>
        <w:keepNext w:val="0"/>
        <w:keepLines w:val="0"/>
        <w:widowControl/>
        <w:suppressLineNumbers w:val="0"/>
        <w:jc w:val="left"/>
      </w:pPr>
    </w:p>
    <w:p w14:paraId="5120F65E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员工福利</w:t>
      </w:r>
    </w:p>
    <w:tbl>
      <w:tblPr>
        <w:tblStyle w:val="8"/>
        <w:tblpPr w:leftFromText="180" w:rightFromText="180" w:vertAnchor="text" w:horzAnchor="page" w:tblpX="904" w:tblpY="520"/>
        <w:tblOverlap w:val="never"/>
        <w:tblW w:w="10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8938"/>
      </w:tblGrid>
      <w:tr w14:paraId="0919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70C0"/>
            <w:tcMar>
              <w:left w:w="30" w:type="dxa"/>
              <w:right w:w="30" w:type="dxa"/>
            </w:tcMar>
            <w:vAlign w:val="center"/>
          </w:tcPr>
          <w:p w14:paraId="3895666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项目</w:t>
            </w:r>
          </w:p>
        </w:tc>
        <w:tc>
          <w:tcPr>
            <w:tcW w:w="89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0070C0"/>
            <w:tcMar>
              <w:left w:w="30" w:type="dxa"/>
              <w:right w:w="30" w:type="dxa"/>
            </w:tcMar>
            <w:vAlign w:val="center"/>
          </w:tcPr>
          <w:p w14:paraId="35253E6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FFFF"/>
                <w:spacing w:val="0"/>
                <w:sz w:val="19"/>
                <w:szCs w:val="19"/>
              </w:rPr>
              <w:t>说明</w:t>
            </w:r>
          </w:p>
        </w:tc>
      </w:tr>
      <w:tr w14:paraId="6BC5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FE8055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竞争力薪酬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D4E212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综合薪资（本科</w:t>
            </w:r>
            <w:r>
              <w:rPr>
                <w:rStyle w:val="10"/>
                <w:rFonts w:ascii="Arial" w:hAnsi="Arial" w:eastAsia="微软雅黑" w:cs="Arial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7.5K-10K/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硕士</w:t>
            </w: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8.5K-12K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），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每年调薪机会与丰厚的年终奖金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、持续服务奖金、专利研发奖金、提案改善奖金及各类绩效奖金等</w:t>
            </w:r>
          </w:p>
        </w:tc>
      </w:tr>
      <w:tr w14:paraId="5D885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404AA1B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丰厚福利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E06DEB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公司每月、每年评选优秀员工并给予奖励；为员工购买五险一金、中秋与端午等假日发放礼品、</w:t>
            </w:r>
          </w:p>
          <w:p w14:paraId="14649F7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年度免费职业体检、爱心巴士等</w:t>
            </w:r>
          </w:p>
        </w:tc>
      </w:tr>
      <w:tr w14:paraId="3FD0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34B7C8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多样化餐厅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350ABD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公司内部设有多个食堂，提供多样化员工就餐服务，如面食馆、湘菜馆、台湾小吃店、水果店、</w:t>
            </w:r>
          </w:p>
          <w:p w14:paraId="6F1E528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超市、商业街等</w:t>
            </w:r>
          </w:p>
        </w:tc>
      </w:tr>
      <w:tr w14:paraId="76469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759375A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住宿环境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4C23964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公司提供</w:t>
            </w: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4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人</w:t>
            </w:r>
            <w:r>
              <w:rPr>
                <w:rStyle w:val="10"/>
                <w:rFonts w:hint="default" w:ascii="Arial" w:hAnsi="Arial" w:eastAsia="微软雅黑" w:cs="Arial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/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间宿舍，宿舍配备空调、独立书桌、柜子等、提供免费洗衣服务</w:t>
            </w:r>
          </w:p>
        </w:tc>
      </w:tr>
      <w:tr w14:paraId="18E2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CB5689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培训晋升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7B4BC96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公司拥有完善的培训体系，为员工提供全面的专业技能、管理职能培训，同时与多个知名院校合作，凡我司在职员工都可参与学历提升计划（本科、研究生），同时会获得丰厚的奖学金。</w:t>
            </w:r>
          </w:p>
        </w:tc>
      </w:tr>
      <w:tr w14:paraId="12A5A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A30222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带薪假期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16908D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公司员工可享受国家法定节假、有薪年假、有薪婚丧假、有薪产假、有薪陪产假等假期</w:t>
            </w:r>
          </w:p>
        </w:tc>
      </w:tr>
      <w:tr w14:paraId="3EC7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33EBD08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文娱活动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4F73CD4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公司内部图书室、篮球场、羽毛球场、乒乓球室、</w:t>
            </w:r>
            <w:r>
              <w:rPr>
                <w:rStyle w:val="10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A3A3A"/>
                <w:spacing w:val="0"/>
                <w:sz w:val="21"/>
                <w:szCs w:val="21"/>
              </w:rPr>
              <w:t> 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健身房、电影放映室等文体娱乐设施；</w:t>
            </w:r>
          </w:p>
          <w:p w14:paraId="3568703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每月组织主题月活动，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3A3A3A"/>
                <w:spacing w:val="0"/>
                <w:sz w:val="19"/>
                <w:szCs w:val="19"/>
              </w:rPr>
              <w:t>如瑜伽、舞蹈、球类比赛、嘉年华、联谊等活动。</w:t>
            </w: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每年组织员工相亲相爱活动</w:t>
            </w:r>
          </w:p>
        </w:tc>
      </w:tr>
      <w:tr w14:paraId="0FFB0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526C10A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FF0000"/>
                <w:spacing w:val="0"/>
                <w:sz w:val="19"/>
                <w:szCs w:val="19"/>
              </w:rPr>
              <w:t>职业发展</w:t>
            </w:r>
          </w:p>
        </w:tc>
        <w:tc>
          <w:tcPr>
            <w:tcW w:w="8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30" w:type="dxa"/>
              <w:right w:w="30" w:type="dxa"/>
            </w:tcMar>
            <w:vAlign w:val="center"/>
          </w:tcPr>
          <w:p w14:paraId="09B6D29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10"/>
                <w:rFonts w:hint="default" w:ascii="標楷體" w:hAnsi="標楷體" w:eastAsia="標楷體" w:cs="標楷體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公司设立管理及技术双轨发展通道，为每位人才提供适合自身的广阔的发展空间</w:t>
            </w:r>
          </w:p>
        </w:tc>
      </w:tr>
    </w:tbl>
    <w:p w14:paraId="5814712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0B5A92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45D040E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3094476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1272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AA3E7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4B6497D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1064" w:firstLineChars="40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四、培训发展</w:t>
      </w:r>
    </w:p>
    <w:p w14:paraId="0D3EEE2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1945640</wp:posOffset>
            </wp:positionV>
            <wp:extent cx="5252085" cy="1078865"/>
            <wp:effectExtent l="0" t="0" r="5715" b="6985"/>
            <wp:wrapTopAndBottom/>
            <wp:docPr id="4" name="图片 4" descr="6dbf7de4-6b85-4728-bcba-4ea977eca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dbf7de4-6b85-4728-bcba-4ea977eca7b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29210</wp:posOffset>
            </wp:positionV>
            <wp:extent cx="5387975" cy="1794510"/>
            <wp:effectExtent l="0" t="0" r="3175" b="15240"/>
            <wp:wrapTopAndBottom/>
            <wp:docPr id="3" name="图片 3" descr="3d5ea241-cc6d-434f-97d5-786fc52da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d5ea241-cc6d-434f-97d5-786fc52da7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       五、联系方式</w:t>
      </w:r>
    </w:p>
    <w:p w14:paraId="4F03096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1064" w:firstLineChars="40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地址：广东省深圳市宝安区燕罗街道燕川社区松罗路</w:t>
      </w:r>
    </w:p>
    <w:p w14:paraId="3A5073F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1064" w:firstLineChars="40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联系人：HR黄女士</w:t>
      </w:r>
    </w:p>
    <w:p w14:paraId="5C24A8E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1064" w:firstLineChars="40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联系电话：173-7569-7769（微信同号）/ 0755-33810388转60935</w:t>
      </w:r>
    </w:p>
    <w:p w14:paraId="0AC1F18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03523E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44025F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default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61F875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right="11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標楷體">
    <w:altName w:val="楷体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AFF568"/>
    <w:multiLevelType w:val="singleLevel"/>
    <w:tmpl w:val="B7AFF5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8175E9"/>
    <w:rsid w:val="32CB66BB"/>
    <w:rsid w:val="32D3237F"/>
    <w:rsid w:val="32EB76C8"/>
    <w:rsid w:val="32EC550E"/>
    <w:rsid w:val="33A60B26"/>
    <w:rsid w:val="34810948"/>
    <w:rsid w:val="34EF2CEA"/>
    <w:rsid w:val="3873455E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6E68B8"/>
    <w:rsid w:val="6BCB6647"/>
    <w:rsid w:val="6E340807"/>
    <w:rsid w:val="6F545299"/>
    <w:rsid w:val="762C55FB"/>
    <w:rsid w:val="76F877E2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1417</Words>
  <Characters>1513</Characters>
  <TotalTime>71</TotalTime>
  <ScaleCrop>false</ScaleCrop>
  <LinksUpToDate>false</LinksUpToDate>
  <CharactersWithSpaces>1516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2026-10-23T01:40:19Z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